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56" w:rsidRPr="00D76356" w:rsidRDefault="00D76356" w:rsidP="00D76356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0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bCs/>
          <w:sz w:val="28"/>
          <w:szCs w:val="20"/>
          <w:lang w:val="uk-UA" w:eastAsia="uk-UA"/>
        </w:rPr>
        <w:t>ІНФОРМАЦІЙНО-МЕТОДИЧНІ МАТЕРІАЛИ</w:t>
      </w:r>
    </w:p>
    <w:p w:rsidR="00D76356" w:rsidRPr="00D76356" w:rsidRDefault="00D76356" w:rsidP="00D76356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0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bCs/>
          <w:sz w:val="28"/>
          <w:szCs w:val="20"/>
          <w:lang w:val="uk-UA" w:eastAsia="uk-UA"/>
        </w:rPr>
        <w:t xml:space="preserve"> щодо організації та проведення обласного конкурсу на кращу методичну розробку з науково-технічної творчості серед педагогів закладів позашкільної освіти області (заочно)</w:t>
      </w:r>
    </w:p>
    <w:p w:rsidR="00D76356" w:rsidRPr="00D76356" w:rsidRDefault="00D76356" w:rsidP="00D76356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0"/>
          <w:lang w:val="uk-UA" w:eastAsia="uk-UA"/>
        </w:rPr>
      </w:pPr>
    </w:p>
    <w:p w:rsidR="00D76356" w:rsidRPr="00D76356" w:rsidRDefault="00D76356" w:rsidP="00D76356">
      <w:pPr>
        <w:spacing w:after="12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1. Загальні положення</w:t>
      </w:r>
    </w:p>
    <w:p w:rsidR="00D76356" w:rsidRPr="00D76356" w:rsidRDefault="00D76356" w:rsidP="00D76356">
      <w:pPr>
        <w:spacing w:after="0" w:line="240" w:lineRule="auto"/>
        <w:ind w:firstLine="708"/>
        <w:rPr>
          <w:rFonts w:ascii="Times New Roman" w:eastAsia="Batang" w:hAnsi="Times New Roman" w:cs="Times New Roman"/>
          <w:bCs/>
          <w:sz w:val="28"/>
          <w:szCs w:val="20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1.1. Організатором обласного конкурсу </w:t>
      </w:r>
      <w:r w:rsidRPr="00D76356">
        <w:rPr>
          <w:rFonts w:ascii="Times New Roman" w:eastAsia="Batang" w:hAnsi="Times New Roman" w:cs="Times New Roman"/>
          <w:bCs/>
          <w:sz w:val="28"/>
          <w:szCs w:val="20"/>
          <w:lang w:val="uk-UA" w:eastAsia="uk-UA"/>
        </w:rPr>
        <w:t>на кращу методичну розробку з</w:t>
      </w:r>
    </w:p>
    <w:p w:rsidR="00D76356" w:rsidRPr="00D76356" w:rsidRDefault="00D76356" w:rsidP="00D76356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8"/>
          <w:szCs w:val="20"/>
          <w:lang w:val="uk-UA" w:eastAsia="uk-UA"/>
        </w:rPr>
      </w:pPr>
      <w:r w:rsidRPr="00D76356">
        <w:rPr>
          <w:rFonts w:ascii="Times New Roman" w:eastAsia="Batang" w:hAnsi="Times New Roman" w:cs="Times New Roman"/>
          <w:bCs/>
          <w:sz w:val="28"/>
          <w:szCs w:val="20"/>
          <w:lang w:val="uk-UA" w:eastAsia="uk-UA"/>
        </w:rPr>
        <w:t>науково-технічної творчості</w:t>
      </w:r>
      <w:r w:rsidRPr="00D76356">
        <w:rPr>
          <w:rFonts w:ascii="Times New Roman" w:eastAsia="Batang" w:hAnsi="Times New Roman" w:cs="Times New Roman"/>
          <w:b/>
          <w:bCs/>
          <w:sz w:val="28"/>
          <w:szCs w:val="20"/>
          <w:lang w:val="uk-UA" w:eastAsia="uk-UA"/>
        </w:rPr>
        <w:t xml:space="preserve"> </w:t>
      </w:r>
      <w:r w:rsidRPr="00D76356">
        <w:rPr>
          <w:rFonts w:ascii="Times New Roman" w:eastAsia="Batang" w:hAnsi="Times New Roman" w:cs="Times New Roman"/>
          <w:bCs/>
          <w:sz w:val="28"/>
          <w:szCs w:val="20"/>
          <w:lang w:val="uk-UA" w:eastAsia="uk-UA"/>
        </w:rPr>
        <w:t xml:space="preserve">серед педагогів закладів позашкільної освіти області (заочно) </w:t>
      </w: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(далі – Конкурс) є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1.2. Конкурс проводиться з метою виявлення та поширення педагогічного досвіду з питань удосконалення освітнього процесу у гуртках науково-технічного напряму позашкільної освіти. 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1.3. Завдання обласного Конкурсу: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підвищення професійного рівня, творчої активності педагогів закладів позашкільної освіти та залучення їх до вирішення проблем удосконалення освітнього процесу у гуртках науково-технічного профілю;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підвищення якості освітніх послуг з науково-технічного напряму позашкільної освіти у закладах позашкільної освіти області;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формування методичної культури педагогів у закладах позашкільної освіти;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підтримка творчо працюючих педагогів у науково-технічному напряму;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залучення педагогів закладів позашкільної освіти до інноваційної діяльності з науково-технічної творчості;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впровадження в практику роботи закладів позашкільної освіти новітніх досягнень науки і техніки, ефективних методів, прийомів і форм роботи з учнівською молоддю в позаурочний час.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8"/>
          <w:szCs w:val="8"/>
          <w:lang w:val="uk-UA" w:eastAsia="uk-UA"/>
        </w:rPr>
      </w:pP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1.4. У Конкурсі можуть брати участь як окремі педагогічні працівники, так і авторські колективи закладів позашкільної освіти.</w:t>
      </w:r>
    </w:p>
    <w:p w:rsidR="00D76356" w:rsidRPr="00D76356" w:rsidRDefault="00D76356" w:rsidP="00964D8A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D76356" w:rsidRPr="00D76356" w:rsidRDefault="00D76356" w:rsidP="00D76356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2. Порядок і термін проведення Конкурсу</w:t>
      </w:r>
    </w:p>
    <w:p w:rsidR="00D76356" w:rsidRPr="00D76356" w:rsidRDefault="00D76356" w:rsidP="00D76356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16"/>
          <w:szCs w:val="28"/>
          <w:lang w:val="uk-UA" w:eastAsia="uk-UA"/>
        </w:rPr>
      </w:pP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2.1. Для участі у Конкурсі необхідно надати:</w:t>
      </w:r>
    </w:p>
    <w:p w:rsidR="00D76356" w:rsidRPr="00D76356" w:rsidRDefault="00D76356" w:rsidP="00964D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763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заявку для участі у Конкурсі за посиланням </w:t>
      </w:r>
      <w:hyperlink r:id="rId8" w:history="1">
        <w:r w:rsidR="00964D8A" w:rsidRPr="00F87291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https://forms.gle/FF8TETHvxvekMKyV9</w:t>
        </w:r>
      </w:hyperlink>
      <w:r w:rsidR="00964D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7635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D76356" w:rsidRPr="00D76356" w:rsidRDefault="00D76356" w:rsidP="00D763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конкурсну роботу в електронному вигляді;</w:t>
      </w:r>
    </w:p>
    <w:p w:rsidR="00D76356" w:rsidRPr="00D76356" w:rsidRDefault="00D76356" w:rsidP="00D763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рецензію на роботу наукового або практичного спеціаліста.</w:t>
      </w:r>
    </w:p>
    <w:p w:rsidR="00D76356" w:rsidRPr="00D76356" w:rsidRDefault="00D76356" w:rsidP="00D76356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2.2. Прийом робіт триває до 28 лютого 2025 року на електронну пошту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</w:r>
      <w:hyperlink r:id="rId9" w:history="1">
        <w:r w:rsidRPr="00D76356">
          <w:rPr>
            <w:rFonts w:ascii="Times New Roman" w:eastAsia="Batang" w:hAnsi="Times New Roman" w:cs="Times New Roman"/>
            <w:color w:val="0000FF"/>
            <w:sz w:val="28"/>
            <w:szCs w:val="28"/>
            <w:u w:val="single"/>
            <w:lang w:val="uk-UA" w:eastAsia="uk-UA"/>
          </w:rPr>
          <w:t>dneprocntt@ukr.net</w:t>
        </w:r>
      </w:hyperlink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. </w:t>
      </w:r>
    </w:p>
    <w:p w:rsidR="00D76356" w:rsidRPr="00D76356" w:rsidRDefault="00D76356" w:rsidP="00D76356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Матеріали, що надійдуть після зазначеної дати, розглядатися не будуть.</w:t>
      </w:r>
    </w:p>
    <w:p w:rsidR="00D76356" w:rsidRPr="00D76356" w:rsidRDefault="00D76356" w:rsidP="00D76356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8"/>
          <w:szCs w:val="8"/>
          <w:lang w:val="uk-UA" w:eastAsia="uk-UA"/>
        </w:rPr>
      </w:pP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2.3. Кількість робіт від кожного учасника або колективу не обмежується.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2.4. Підведення підсумків Конкурсу проводиться до 01 травня 2025 року. За результатами видається відповідний наказ департаменту освіти і науки облдержадміністрації. </w:t>
      </w:r>
    </w:p>
    <w:p w:rsidR="00D76356" w:rsidRPr="00D76356" w:rsidRDefault="00D76356" w:rsidP="00964D8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76356" w:rsidRPr="00D76356" w:rsidRDefault="00D76356" w:rsidP="00D76356">
      <w:pPr>
        <w:spacing w:after="120" w:line="240" w:lineRule="auto"/>
        <w:ind w:left="1416" w:firstLine="708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3. Загальні вимоги до матеріалів </w:t>
      </w:r>
    </w:p>
    <w:p w:rsidR="00D76356" w:rsidRPr="00D76356" w:rsidRDefault="00D76356" w:rsidP="00D76356">
      <w:pPr>
        <w:spacing w:after="12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3.1. На Конкурс подаються методичні розробки з усіх профілів науково-технічного напряму позашкільної освіти (початково-технічний, спортивно-технічний, предметно-технічний, інформаційно-технічний, художньо-технічний, виробничо-технічний) та адміністративно-методичної діяльності. </w:t>
      </w:r>
    </w:p>
    <w:p w:rsidR="00D76356" w:rsidRPr="00D76356" w:rsidRDefault="00D76356" w:rsidP="00D76356">
      <w:pPr>
        <w:spacing w:after="12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Методична розробка має містити матеріали щодо планування та організації освітнього процесу, впровадження та використання інноваційних технологій навчання, методики реалізації окремих тем навчальних програм у гуртках науково-технічної творчості. </w:t>
      </w:r>
    </w:p>
    <w:p w:rsidR="00D76356" w:rsidRPr="00D76356" w:rsidRDefault="00D76356" w:rsidP="00D76356">
      <w:pPr>
        <w:spacing w:after="12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За формою це можуть бути: </w:t>
      </w:r>
      <w:r w:rsidRPr="00D76356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методичні рекомендації (методичні вказівки), навчальний та навчально-методичний посібники, навчальний наочний посібник, довідник, словник, підручник, практикум, робочий зошит, розробки навчальних тем/розділів навчальної програми, опис практичного застосування навчальних технологій, проєкти, збірки сценаріїв масових заходів науково-технічної спрямованості, опис досвіду адміністративно-методичної роботи</w:t>
      </w: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. 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3.2. </w:t>
      </w:r>
      <w:r w:rsidRPr="00D7635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НЕ ДОПУСКАЮТЬСЯ до участі у Конкурсі роботи які:</w:t>
      </w:r>
    </w:p>
    <w:p w:rsidR="00D76356" w:rsidRPr="00D76356" w:rsidRDefault="00D76356" w:rsidP="00D7635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мають розробку ОДНОГО заняття чи сценарію масового заходу з науково-технічної творчості;</w:t>
      </w:r>
    </w:p>
    <w:p w:rsidR="00D76356" w:rsidRPr="00D76356" w:rsidRDefault="00D76356" w:rsidP="00D7635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порушують академічну доброчесність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3.3. Структура роботи має містити наступні частини: титульна сторінка, зміст, вступ, основна частина, висновки, бібліографія, додатки.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 xml:space="preserve">3.3.1. Титульна сторінка: 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На титульній сторінці має бути вказана назва відповідного органу управління освітою, офіційна назва закладу, прізвище, ім’я, по батькові автора чи колективу без скорочень, назва роботи, рік. 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 xml:space="preserve">3.3.2. Зміст. 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Має містити перелік заголовків, рубрик, нумерація сторінок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 xml:space="preserve">3.3.3. Вступ. 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Повинно бути обґрунтовано актуальність проблеми, сформульовано основні завдання, описано перспективність використання матеріалів.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>3.3.4. Основна частина.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Основна частина має бути чітко структурованою, </w:t>
      </w:r>
      <w:proofErr w:type="spellStart"/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логічно</w:t>
      </w:r>
      <w:proofErr w:type="spellEnd"/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побудованою та охоплювати ключові аспекти заявленої теми.</w:t>
      </w:r>
      <w:r w:rsidRPr="00D76356">
        <w:rPr>
          <w:rFonts w:ascii="Times New Roman" w:eastAsia="Batang" w:hAnsi="Times New Roman" w:cs="Times New Roman"/>
          <w:sz w:val="32"/>
          <w:szCs w:val="28"/>
          <w:lang w:val="uk-UA" w:eastAsia="uk-UA"/>
        </w:rPr>
        <w:t xml:space="preserve"> </w:t>
      </w: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За змістом матеріали мають відповідати навчальним програмам з позашкільної освіти науково-технічного напряму, адміністративно-педагогічній діяльності закладу </w:t>
      </w:r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мати такі складові:</w:t>
      </w:r>
    </w:p>
    <w:p w:rsidR="00D76356" w:rsidRPr="00D76356" w:rsidRDefault="00D76356" w:rsidP="00D76356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lastRenderedPageBreak/>
        <w:t>Опис методик та підходів.</w:t>
      </w:r>
    </w:p>
    <w:p w:rsidR="00D76356" w:rsidRPr="00D76356" w:rsidRDefault="00D76356" w:rsidP="00D76356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Детальне пояснення вибраних методів, прийомів та інструментів, які використовуються для досягнення освітніх цілей.</w:t>
      </w:r>
    </w:p>
    <w:p w:rsidR="00D76356" w:rsidRPr="00D76356" w:rsidRDefault="00D76356" w:rsidP="00D76356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Приклади практичних завдань, вправ чи експериментальних робіт, які можна застосувати у освітньому процесі.</w:t>
      </w:r>
    </w:p>
    <w:p w:rsidR="00D76356" w:rsidRPr="00D76356" w:rsidRDefault="00D76356" w:rsidP="00D7635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Практичні рекомендації.</w:t>
      </w:r>
    </w:p>
    <w:p w:rsidR="00D76356" w:rsidRPr="00D76356" w:rsidRDefault="00D76356" w:rsidP="00D76356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Алгоритми дій, які можуть бути використані педагогами для організації освітньої діяльності.</w:t>
      </w:r>
    </w:p>
    <w:p w:rsidR="00D76356" w:rsidRPr="00D76356" w:rsidRDefault="00D76356" w:rsidP="00D76356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Покроковий план роботи з матеріалом для досягнення максимальних результатів.</w:t>
      </w:r>
    </w:p>
    <w:p w:rsidR="00D76356" w:rsidRPr="00D76356" w:rsidRDefault="00D76356" w:rsidP="00D76356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Мотиваційні аспекти в роботі з вихованцями.</w:t>
      </w:r>
    </w:p>
    <w:p w:rsidR="00D76356" w:rsidRPr="00D76356" w:rsidRDefault="00D76356" w:rsidP="00D7635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Використання ресурсів.</w:t>
      </w:r>
    </w:p>
    <w:p w:rsidR="00D76356" w:rsidRPr="00D76356" w:rsidRDefault="00D76356" w:rsidP="00D7635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Перелік необхідних технічних, навчальних чи інформаційних засобів, які забезпечують повноцінну реалізацію представлених методик.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763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Основна частина повинна містити приклади практичного застосування, враховувати різні рівні підготовки учнів та бути доступною для адаптації в різних навчальних середовищах. Автору слід приділити увагу розробці матеріалів, які сприяють інтерактивному та творчому навчанню, орієнтованих на розвиток самостійності, критичного мислення та навичок командної роботи.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Надані матеріали мають бути орієнтовані для надання практичної допомоги керівникам гуртків науково-технічного напряму, методистам закладів позашкільної освіти.</w:t>
      </w:r>
    </w:p>
    <w:p w:rsidR="00D76356" w:rsidRPr="00D76356" w:rsidRDefault="00D76356" w:rsidP="00D76356">
      <w:pPr>
        <w:spacing w:after="0" w:line="240" w:lineRule="auto"/>
        <w:ind w:firstLine="567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 xml:space="preserve">3.3.5. Висновки. 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У висновках слід надати рекомендації щодо значимості та практичного використання методичної розробки іншими педагогами закладів позашкільної освіти.</w:t>
      </w:r>
    </w:p>
    <w:p w:rsidR="00D76356" w:rsidRPr="00D76356" w:rsidRDefault="00D76356" w:rsidP="00D76356">
      <w:pPr>
        <w:spacing w:after="0" w:line="240" w:lineRule="auto"/>
        <w:ind w:firstLine="567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 xml:space="preserve">3.3.6. Бібліографія. </w:t>
      </w: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Зазначаються джерела, звідки запозичений фактичний матеріал, посилання на інтернет ресурси. Список використаної літератури надається в алфавітному порядку.</w:t>
      </w:r>
    </w:p>
    <w:p w:rsidR="00D76356" w:rsidRPr="00D76356" w:rsidRDefault="00D76356" w:rsidP="00D76356">
      <w:pPr>
        <w:spacing w:after="0" w:line="240" w:lineRule="auto"/>
        <w:ind w:firstLine="567"/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 xml:space="preserve">3.3.7. Додатки. </w:t>
      </w:r>
    </w:p>
    <w:p w:rsidR="00D76356" w:rsidRPr="00D76356" w:rsidRDefault="00D76356" w:rsidP="00D76356">
      <w:pPr>
        <w:spacing w:after="0" w:line="240" w:lineRule="auto"/>
        <w:ind w:firstLine="567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Важливий засіб збагачення змісту методичної розробки. Доцільно давати різні матеріали, що доповнюють або ілюструють основний текст.</w:t>
      </w:r>
    </w:p>
    <w:p w:rsidR="00D76356" w:rsidRPr="00D76356" w:rsidRDefault="00D76356" w:rsidP="00D76356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76356" w:rsidRPr="00D76356" w:rsidRDefault="00D76356" w:rsidP="00D763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Конкурсна робота має бути оформлена у текстовому редакторі – </w:t>
      </w:r>
      <w:r w:rsidRPr="00D76356">
        <w:rPr>
          <w:rFonts w:ascii="Times New Roman" w:eastAsia="Batang" w:hAnsi="Times New Roman" w:cs="Times New Roman"/>
          <w:sz w:val="28"/>
          <w:szCs w:val="28"/>
          <w:lang w:val="en-US" w:eastAsia="uk-UA"/>
        </w:rPr>
        <w:t>Word</w:t>
      </w: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; </w:t>
      </w:r>
      <w:r w:rsidRPr="00D76356">
        <w:rPr>
          <w:rFonts w:ascii="Times New Roman" w:eastAsia="Batang" w:hAnsi="Times New Roman" w:cs="Times New Roman"/>
          <w:sz w:val="28"/>
          <w:szCs w:val="28"/>
          <w:lang w:val="en-US" w:eastAsia="uk-UA"/>
        </w:rPr>
        <w:t>Times</w:t>
      </w:r>
      <w:r w:rsidRPr="00D76356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Pr="00D76356">
        <w:rPr>
          <w:rFonts w:ascii="Times New Roman" w:eastAsia="Batang" w:hAnsi="Times New Roman" w:cs="Times New Roman"/>
          <w:sz w:val="28"/>
          <w:szCs w:val="28"/>
          <w:lang w:val="en-US" w:eastAsia="uk-UA"/>
        </w:rPr>
        <w:t>New</w:t>
      </w:r>
      <w:r w:rsidRPr="00D76356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Pr="00D76356">
        <w:rPr>
          <w:rFonts w:ascii="Times New Roman" w:eastAsia="Batang" w:hAnsi="Times New Roman" w:cs="Times New Roman"/>
          <w:sz w:val="28"/>
          <w:szCs w:val="28"/>
          <w:lang w:val="en-US" w:eastAsia="uk-UA"/>
        </w:rPr>
        <w:t>Roman</w:t>
      </w: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; шрифт 14, інтервал 1,5.</w:t>
      </w:r>
    </w:p>
    <w:p w:rsidR="00D76356" w:rsidRDefault="00D76356" w:rsidP="00D76356">
      <w:pPr>
        <w:spacing w:after="0" w:line="240" w:lineRule="auto"/>
        <w:ind w:firstLine="567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76356" w:rsidRPr="00D76356" w:rsidRDefault="00D76356" w:rsidP="00D76356">
      <w:pPr>
        <w:spacing w:after="0" w:line="240" w:lineRule="auto"/>
        <w:ind w:firstLine="567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76356" w:rsidRPr="00D76356" w:rsidRDefault="00D76356" w:rsidP="00D76356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4. Підведення підсумків</w:t>
      </w: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D76356" w:rsidRPr="00D76356" w:rsidRDefault="00D76356" w:rsidP="00D76356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76356" w:rsidRPr="00D76356" w:rsidRDefault="00D76356" w:rsidP="00D76356">
      <w:pPr>
        <w:spacing w:after="12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4.1. Для оцінки робіт, поданих на обласний Конкурс, створюється журі з числа провідних спеціалістів з усіх профілів науково-технічної творчості. </w:t>
      </w:r>
    </w:p>
    <w:p w:rsidR="00D76356" w:rsidRPr="00D76356" w:rsidRDefault="00D76356" w:rsidP="00964D8A">
      <w:pPr>
        <w:spacing w:after="12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4.2. Оцінювання робіт буде відбуватися за такими критеріями:</w:t>
      </w:r>
      <w:bookmarkStart w:id="0" w:name="_GoBack"/>
      <w:bookmarkEnd w:id="0"/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60"/>
        <w:gridCol w:w="4374"/>
        <w:gridCol w:w="1896"/>
      </w:tblGrid>
      <w:tr w:rsidR="00D76356" w:rsidRPr="00D76356" w:rsidTr="005536BE">
        <w:tc>
          <w:tcPr>
            <w:tcW w:w="3284" w:type="dxa"/>
          </w:tcPr>
          <w:p w:rsidR="00D76356" w:rsidRPr="00D76356" w:rsidRDefault="00D76356" w:rsidP="00D76356">
            <w:pPr>
              <w:spacing w:after="120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КРИТЕРІЙ</w:t>
            </w:r>
          </w:p>
        </w:tc>
        <w:tc>
          <w:tcPr>
            <w:tcW w:w="4621" w:type="dxa"/>
          </w:tcPr>
          <w:p w:rsidR="00D76356" w:rsidRPr="00D76356" w:rsidRDefault="00D76356" w:rsidP="00D76356">
            <w:pPr>
              <w:spacing w:after="120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b/>
                <w:sz w:val="28"/>
                <w:szCs w:val="28"/>
                <w:lang w:val="uk-UA" w:eastAsia="uk-UA"/>
              </w:rPr>
              <w:t>ОПИС КРИТЕРІЮ</w:t>
            </w:r>
          </w:p>
        </w:tc>
        <w:tc>
          <w:tcPr>
            <w:tcW w:w="1949" w:type="dxa"/>
          </w:tcPr>
          <w:p w:rsidR="00D76356" w:rsidRPr="00D76356" w:rsidRDefault="00D76356" w:rsidP="00D76356">
            <w:pPr>
              <w:spacing w:after="120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b/>
                <w:sz w:val="28"/>
                <w:szCs w:val="28"/>
                <w:lang w:val="uk-UA" w:eastAsia="uk-UA"/>
              </w:rPr>
              <w:t>ОЦІНКА</w:t>
            </w:r>
          </w:p>
        </w:tc>
      </w:tr>
      <w:tr w:rsidR="00D76356" w:rsidRPr="00D76356" w:rsidTr="005536BE">
        <w:tc>
          <w:tcPr>
            <w:tcW w:w="3284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Відповідність матеріалу чинним навчальним програмам з позашкільної освіти науково-технічного напряму</w:t>
            </w:r>
            <w:r w:rsidRPr="00D76356">
              <w:rPr>
                <w:rFonts w:ascii="Times New Roman" w:eastAsia="Batang" w:hAnsi="Times New Roman" w:cs="Times New Roman"/>
                <w:szCs w:val="20"/>
                <w:lang w:val="uk-UA" w:eastAsia="uk-UA"/>
              </w:rPr>
              <w:t xml:space="preserve"> та </w:t>
            </w:r>
            <w:r w:rsidRPr="00D76356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адміністративно-педагогічній діяльності закладу </w:t>
            </w:r>
          </w:p>
        </w:tc>
        <w:tc>
          <w:tcPr>
            <w:tcW w:w="4621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uk-UA" w:eastAsia="uk-UA"/>
              </w:rPr>
              <w:t>повна і вичерпна реалізація змістового наповнення програми або її окремого розділу, теми, орієнтація на основні вимоги змісту позашкільної освіти з урахуванням вимог чинних нормативно-правових документів у галузі позашкільної освіти</w:t>
            </w:r>
          </w:p>
        </w:tc>
        <w:tc>
          <w:tcPr>
            <w:tcW w:w="1949" w:type="dxa"/>
          </w:tcPr>
          <w:p w:rsidR="00D76356" w:rsidRPr="00D76356" w:rsidRDefault="00D76356" w:rsidP="00D76356">
            <w:pPr>
              <w:spacing w:after="1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</w:tr>
      <w:tr w:rsidR="00D76356" w:rsidRPr="00D76356" w:rsidTr="005536BE">
        <w:tc>
          <w:tcPr>
            <w:tcW w:w="3284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Структура та викладення матеріалу </w:t>
            </w:r>
          </w:p>
        </w:tc>
        <w:tc>
          <w:tcPr>
            <w:tcW w:w="4621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uk-UA" w:eastAsia="uk-UA"/>
              </w:rPr>
              <w:t>виконаний українською мовою з дотриманням правописних норм, чітко структурований, забезпечено педагогічно доцільну наступність та логічну послідовність викладу навчального матеріалу: титульний лист, зміст, вступ, основна частина, висновки, бібліографія, додатки</w:t>
            </w:r>
          </w:p>
        </w:tc>
        <w:tc>
          <w:tcPr>
            <w:tcW w:w="1949" w:type="dxa"/>
          </w:tcPr>
          <w:p w:rsidR="00D76356" w:rsidRPr="00D76356" w:rsidRDefault="00D76356" w:rsidP="00D76356">
            <w:pPr>
              <w:spacing w:after="1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D76356" w:rsidRPr="00D76356" w:rsidTr="005536BE">
        <w:tc>
          <w:tcPr>
            <w:tcW w:w="3284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Дотримання технічних вимог до оформлення роботи </w:t>
            </w:r>
          </w:p>
        </w:tc>
        <w:tc>
          <w:tcPr>
            <w:tcW w:w="4621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uk-UA" w:eastAsia="uk-UA"/>
              </w:rPr>
              <w:t xml:space="preserve">текстовий редактор – </w:t>
            </w: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en-US" w:eastAsia="uk-UA"/>
              </w:rPr>
              <w:t>Word</w:t>
            </w: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uk-UA" w:eastAsia="uk-UA"/>
              </w:rPr>
              <w:t xml:space="preserve">, </w:t>
            </w: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en-US" w:eastAsia="uk-UA"/>
              </w:rPr>
              <w:t>Times</w:t>
            </w: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en-US" w:eastAsia="uk-UA"/>
              </w:rPr>
              <w:t>New</w:t>
            </w: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en-US" w:eastAsia="uk-UA"/>
              </w:rPr>
              <w:t>Roman</w:t>
            </w: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uk-UA" w:eastAsia="uk-UA"/>
              </w:rPr>
              <w:t>, шрифт 14, через 1,5 інтервалу, естетичне оформлення матеріалів</w:t>
            </w:r>
          </w:p>
        </w:tc>
        <w:tc>
          <w:tcPr>
            <w:tcW w:w="1949" w:type="dxa"/>
          </w:tcPr>
          <w:p w:rsidR="00D76356" w:rsidRPr="00D76356" w:rsidRDefault="00D76356" w:rsidP="00D76356">
            <w:pPr>
              <w:spacing w:after="1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D76356" w:rsidRPr="00D76356" w:rsidTr="005536BE">
        <w:tc>
          <w:tcPr>
            <w:tcW w:w="3284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Змістовне наповнення матеріалів </w:t>
            </w:r>
          </w:p>
        </w:tc>
        <w:tc>
          <w:tcPr>
            <w:tcW w:w="4621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uk-UA" w:eastAsia="uk-UA"/>
              </w:rPr>
              <w:t>конкретність змісту, повнота розкриття матеріалу,</w:t>
            </w:r>
            <w:r w:rsidRPr="00D76356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D76356">
              <w:rPr>
                <w:rFonts w:ascii="Times New Roman" w:eastAsia="Batang" w:hAnsi="Times New Roman" w:cs="Times New Roman"/>
                <w:i/>
                <w:sz w:val="24"/>
                <w:szCs w:val="24"/>
                <w:lang w:val="uk-UA" w:eastAsia="uk-UA"/>
              </w:rPr>
              <w:t>практична спрямованість, зв’язок з сучасності, навчальними предметами, відповідності віковим особливостям вихованців, тощо.</w:t>
            </w:r>
          </w:p>
        </w:tc>
        <w:tc>
          <w:tcPr>
            <w:tcW w:w="1949" w:type="dxa"/>
          </w:tcPr>
          <w:p w:rsidR="00D76356" w:rsidRPr="00D76356" w:rsidRDefault="00D76356" w:rsidP="00D76356">
            <w:pPr>
              <w:spacing w:after="1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</w:tr>
      <w:tr w:rsidR="00D76356" w:rsidRPr="00D76356" w:rsidTr="005536BE">
        <w:tc>
          <w:tcPr>
            <w:tcW w:w="3284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Актуальність, перспективність використання наданих матеріалів</w:t>
            </w:r>
          </w:p>
        </w:tc>
        <w:tc>
          <w:tcPr>
            <w:tcW w:w="4621" w:type="dxa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i/>
                <w:sz w:val="24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i/>
                <w:sz w:val="24"/>
                <w:szCs w:val="28"/>
                <w:lang w:val="uk-UA" w:eastAsia="uk-UA"/>
              </w:rPr>
              <w:t>Оцінка ступеня оригінальності та новизни основної ідеї методичної розробки, використання передових технологій, стимулювання творчого мислення, підтримка інтерактивного навчання, перспектива подальшого розвитку.</w:t>
            </w:r>
          </w:p>
        </w:tc>
        <w:tc>
          <w:tcPr>
            <w:tcW w:w="1949" w:type="dxa"/>
          </w:tcPr>
          <w:p w:rsidR="00D76356" w:rsidRPr="00D76356" w:rsidRDefault="00D76356" w:rsidP="00D76356">
            <w:pPr>
              <w:spacing w:after="120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</w:tr>
      <w:tr w:rsidR="00D76356" w:rsidRPr="00D76356" w:rsidTr="005536BE">
        <w:tc>
          <w:tcPr>
            <w:tcW w:w="7905" w:type="dxa"/>
            <w:gridSpan w:val="2"/>
          </w:tcPr>
          <w:p w:rsidR="00D76356" w:rsidRPr="00D76356" w:rsidRDefault="00D76356" w:rsidP="00D76356">
            <w:pPr>
              <w:spacing w:after="120"/>
              <w:jc w:val="both"/>
              <w:rPr>
                <w:rFonts w:ascii="Times New Roman" w:eastAsia="Batang" w:hAnsi="Times New Roman" w:cs="Times New Roman"/>
                <w:b/>
                <w:sz w:val="24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b/>
                <w:sz w:val="28"/>
                <w:szCs w:val="28"/>
                <w:lang w:val="uk-UA" w:eastAsia="uk-UA"/>
              </w:rPr>
              <w:t xml:space="preserve">Загальна кількість балів </w:t>
            </w:r>
          </w:p>
        </w:tc>
        <w:tc>
          <w:tcPr>
            <w:tcW w:w="1949" w:type="dxa"/>
          </w:tcPr>
          <w:p w:rsidR="00D76356" w:rsidRPr="00D76356" w:rsidRDefault="00D76356" w:rsidP="00D76356">
            <w:pPr>
              <w:spacing w:after="120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76356">
              <w:rPr>
                <w:rFonts w:ascii="Times New Roman" w:eastAsia="Batang" w:hAnsi="Times New Roman" w:cs="Times New Roman"/>
                <w:b/>
                <w:sz w:val="32"/>
                <w:szCs w:val="28"/>
                <w:lang w:val="uk-UA" w:eastAsia="uk-UA"/>
              </w:rPr>
              <w:t>50</w:t>
            </w:r>
          </w:p>
        </w:tc>
      </w:tr>
    </w:tbl>
    <w:p w:rsidR="00D76356" w:rsidRPr="00D76356" w:rsidRDefault="00D76356" w:rsidP="00D76356">
      <w:pPr>
        <w:spacing w:after="12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76356" w:rsidRPr="00D76356" w:rsidRDefault="00D76356" w:rsidP="00D76356">
      <w:pPr>
        <w:spacing w:after="12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eastAsia="uk-UA"/>
        </w:rPr>
        <w:t>4</w:t>
      </w: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.3. Результати конкурсу є остаточними та не підлягають оскарженню.</w:t>
      </w:r>
    </w:p>
    <w:p w:rsidR="00D76356" w:rsidRPr="00D76356" w:rsidRDefault="00D76356" w:rsidP="00D76356">
      <w:pPr>
        <w:spacing w:after="12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4.4. Автори кращих методичних розробок нагороджуються грамотами КЗПО “ДОЦНТТ та ІТУМ” ДОР”</w:t>
      </w:r>
    </w:p>
    <w:p w:rsidR="00D76356" w:rsidRPr="00D76356" w:rsidRDefault="00D76356" w:rsidP="00D76356">
      <w:pPr>
        <w:spacing w:after="12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76356" w:rsidRPr="00D76356" w:rsidRDefault="00D76356" w:rsidP="00D76356">
      <w:pPr>
        <w:spacing w:after="120" w:line="240" w:lineRule="auto"/>
        <w:ind w:firstLine="567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D7635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5. Прикінцеві положення.</w:t>
      </w:r>
    </w:p>
    <w:p w:rsidR="00D76356" w:rsidRPr="00D76356" w:rsidRDefault="00D76356" w:rsidP="00D76356">
      <w:pPr>
        <w:spacing w:after="120" w:line="240" w:lineRule="auto"/>
        <w:ind w:firstLine="567"/>
        <w:jc w:val="center"/>
        <w:rPr>
          <w:rFonts w:ascii="Times New Roman" w:eastAsia="Batang" w:hAnsi="Times New Roman" w:cs="Times New Roman"/>
          <w:b/>
          <w:sz w:val="8"/>
          <w:szCs w:val="28"/>
          <w:lang w:val="uk-UA" w:eastAsia="uk-UA"/>
        </w:rPr>
      </w:pPr>
    </w:p>
    <w:p w:rsidR="00D76356" w:rsidRPr="00D76356" w:rsidRDefault="00D76356" w:rsidP="00D76356">
      <w:pPr>
        <w:spacing w:after="120" w:line="240" w:lineRule="auto"/>
        <w:ind w:firstLine="567"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  <w:r w:rsidRPr="00D7635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5.1. Оргкомітет конкурсу залишає за собою право вносити зміни до інформаційно-методичних матеріалів конкурсу.</w:t>
      </w:r>
    </w:p>
    <w:p w:rsidR="008B3706" w:rsidRDefault="008B3706"/>
    <w:sectPr w:rsidR="008B3706" w:rsidSect="00964D8A">
      <w:pgSz w:w="11906" w:h="16838"/>
      <w:pgMar w:top="993" w:right="991" w:bottom="851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8C6" w:rsidRDefault="00EB08C6" w:rsidP="00D76356">
      <w:pPr>
        <w:spacing w:after="0" w:line="240" w:lineRule="auto"/>
      </w:pPr>
      <w:r>
        <w:separator/>
      </w:r>
    </w:p>
  </w:endnote>
  <w:endnote w:type="continuationSeparator" w:id="0">
    <w:p w:rsidR="00EB08C6" w:rsidRDefault="00EB08C6" w:rsidP="00D7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8C6" w:rsidRDefault="00EB08C6" w:rsidP="00D76356">
      <w:pPr>
        <w:spacing w:after="0" w:line="240" w:lineRule="auto"/>
      </w:pPr>
      <w:r>
        <w:separator/>
      </w:r>
    </w:p>
  </w:footnote>
  <w:footnote w:type="continuationSeparator" w:id="0">
    <w:p w:rsidR="00EB08C6" w:rsidRDefault="00EB08C6" w:rsidP="00D76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0C3"/>
    <w:multiLevelType w:val="hybridMultilevel"/>
    <w:tmpl w:val="D48CBF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3F73A2B"/>
    <w:multiLevelType w:val="hybridMultilevel"/>
    <w:tmpl w:val="7ABE54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EFE42C0"/>
    <w:multiLevelType w:val="multilevel"/>
    <w:tmpl w:val="031C949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D2"/>
    <w:rsid w:val="008B3706"/>
    <w:rsid w:val="00964D8A"/>
    <w:rsid w:val="00A77AD2"/>
    <w:rsid w:val="00D76356"/>
    <w:rsid w:val="00EB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763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763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7635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çàãîëîâîê 1"/>
    <w:basedOn w:val="a"/>
    <w:next w:val="a"/>
    <w:rsid w:val="00D76356"/>
    <w:pPr>
      <w:keepNext/>
      <w:spacing w:after="0" w:line="192" w:lineRule="auto"/>
      <w:jc w:val="center"/>
    </w:pPr>
    <w:rPr>
      <w:rFonts w:ascii="SchoolDL" w:eastAsia="Times New Roman" w:hAnsi="SchoolDL" w:cs="Times New Roman"/>
      <w:b/>
      <w:sz w:val="30"/>
      <w:szCs w:val="20"/>
      <w:lang w:val="uk-UA" w:eastAsia="ru-RU"/>
    </w:rPr>
  </w:style>
  <w:style w:type="table" w:customStyle="1" w:styleId="2">
    <w:name w:val="Сетка таблицы2"/>
    <w:basedOn w:val="a1"/>
    <w:next w:val="a6"/>
    <w:uiPriority w:val="59"/>
    <w:rsid w:val="00D76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D76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7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6356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76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6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763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763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7635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çàãîëîâîê 1"/>
    <w:basedOn w:val="a"/>
    <w:next w:val="a"/>
    <w:rsid w:val="00D76356"/>
    <w:pPr>
      <w:keepNext/>
      <w:spacing w:after="0" w:line="192" w:lineRule="auto"/>
      <w:jc w:val="center"/>
    </w:pPr>
    <w:rPr>
      <w:rFonts w:ascii="SchoolDL" w:eastAsia="Times New Roman" w:hAnsi="SchoolDL" w:cs="Times New Roman"/>
      <w:b/>
      <w:sz w:val="30"/>
      <w:szCs w:val="20"/>
      <w:lang w:val="uk-UA" w:eastAsia="ru-RU"/>
    </w:rPr>
  </w:style>
  <w:style w:type="table" w:customStyle="1" w:styleId="2">
    <w:name w:val="Сетка таблицы2"/>
    <w:basedOn w:val="a1"/>
    <w:next w:val="a6"/>
    <w:uiPriority w:val="59"/>
    <w:rsid w:val="00D76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D76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7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6356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76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6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FF8TETHvxvekMKyV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1254</Words>
  <Characters>7152</Characters>
  <Application>Microsoft Office Word</Application>
  <DocSecurity>0</DocSecurity>
  <Lines>59</Lines>
  <Paragraphs>16</Paragraphs>
  <ScaleCrop>false</ScaleCrop>
  <Company/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3</cp:revision>
  <dcterms:created xsi:type="dcterms:W3CDTF">2026-01-05T13:56:00Z</dcterms:created>
  <dcterms:modified xsi:type="dcterms:W3CDTF">2026-01-05T14:20:00Z</dcterms:modified>
</cp:coreProperties>
</file>